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EA8528B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7B45C5" w:rsidRPr="007B45C5">
        <w:rPr>
          <w:rFonts w:ascii="Sylfaen" w:hAnsi="Sylfaen" w:cs="Sylfaen"/>
          <w:sz w:val="20"/>
          <w:lang w:val="ka-GE"/>
        </w:rPr>
        <w:t>მ. იაშვილის სახელობის ბავშვთა ცენტრალური საავადმყოფოს</w:t>
      </w:r>
      <w:r w:rsidR="007B45C5">
        <w:rPr>
          <w:rFonts w:ascii="Sylfaen" w:hAnsi="Sylfaen" w:cs="Sylfaen"/>
          <w:sz w:val="20"/>
          <w:lang w:val="ka-GE"/>
        </w:rPr>
        <w:t>“</w:t>
      </w:r>
      <w:r w:rsidR="00AE7E8A">
        <w:rPr>
          <w:rFonts w:ascii="Sylfaen" w:hAnsi="Sylfaen" w:cs="Sylfaen"/>
          <w:sz w:val="20"/>
          <w:lang w:val="ka-GE"/>
        </w:rPr>
        <w:t xml:space="preserve"> 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სარეკონსტრუქციო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E7B1A3E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7B45C5">
        <w:rPr>
          <w:rFonts w:ascii="Sylfaen" w:hAnsi="Sylfaen" w:cs="Sylfaen"/>
          <w:sz w:val="20"/>
          <w:lang w:val="ka-GE"/>
        </w:rPr>
        <w:t>24 მაისის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028A34C" w:rsidR="001213AD" w:rsidRPr="00C63B85" w:rsidRDefault="007B45C5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16 მაისი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5A38536" w:rsidR="001213AD" w:rsidRPr="00C63B85" w:rsidRDefault="007B45C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24 მაისი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53B126E" w:rsidR="001213AD" w:rsidRPr="00C63B85" w:rsidRDefault="007B45C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1F74F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463EB252" w:rsidR="001213AD" w:rsidRPr="00C63B85" w:rsidRDefault="007B45C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30 მაისი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65367BCD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ლუბლიანას 2/6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7B45C5">
        <w:rPr>
          <w:rFonts w:ascii="Sylfaen" w:hAnsi="Sylfaen" w:cs="Sylfaen"/>
          <w:sz w:val="20"/>
          <w:lang w:val="ka-GE"/>
        </w:rPr>
        <w:t>მ.იაშვილის სახელობის ბავშვთა ცენტრალური საავადმყოფოს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სარეკონსტრუქციო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lastRenderedPageBreak/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76384189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7B45C5" w:rsidRPr="007B45C5">
        <w:rPr>
          <w:rFonts w:ascii="Sylfaen" w:hAnsi="Sylfaen" w:cs="Sylfaen"/>
          <w:sz w:val="20"/>
          <w:lang w:val="en-US"/>
        </w:rPr>
        <w:t xml:space="preserve">2545 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3724D2A4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სამუშაოების დასრულების მაქსიმალურ ვადად განსაზღვრული</w:t>
      </w:r>
      <w:r w:rsidRPr="002E57B1">
        <w:rPr>
          <w:rFonts w:ascii="Sylfaen" w:hAnsi="Sylfaen" w:cs="Sylfaen"/>
          <w:sz w:val="20"/>
          <w:lang w:val="ka-GE"/>
        </w:rPr>
        <w:t xml:space="preserve">ა </w:t>
      </w:r>
      <w:r w:rsidR="00AA5773" w:rsidRPr="002E57B1">
        <w:rPr>
          <w:rFonts w:ascii="Sylfaen" w:hAnsi="Sylfaen" w:cs="Sylfaen"/>
          <w:sz w:val="20"/>
          <w:lang w:val="ka-GE"/>
        </w:rPr>
        <w:t>20</w:t>
      </w:r>
      <w:r w:rsidR="00AA5773" w:rsidRPr="00F130B3">
        <w:rPr>
          <w:rFonts w:ascii="Sylfaen" w:hAnsi="Sylfaen" w:cs="Sylfaen"/>
          <w:sz w:val="20"/>
          <w:lang w:val="ka-GE"/>
        </w:rPr>
        <w:t xml:space="preserve"> </w:t>
      </w:r>
      <w:r w:rsidRPr="00F130B3">
        <w:rPr>
          <w:rFonts w:ascii="Sylfaen" w:hAnsi="Sylfaen" w:cs="Sylfaen"/>
          <w:sz w:val="20"/>
          <w:lang w:val="ka-GE"/>
        </w:rPr>
        <w:t>(</w:t>
      </w:r>
      <w:r w:rsidR="00AA5773">
        <w:rPr>
          <w:rFonts w:ascii="Sylfaen" w:hAnsi="Sylfaen" w:cs="Sylfaen"/>
          <w:sz w:val="20"/>
          <w:lang w:val="ka-GE"/>
        </w:rPr>
        <w:t>ოცი</w:t>
      </w:r>
      <w:r w:rsidRPr="00F130B3">
        <w:rPr>
          <w:rFonts w:ascii="Sylfaen" w:hAnsi="Sylfaen" w:cs="Sylfaen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0A4A82A6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5A302A">
        <w:rPr>
          <w:rFonts w:ascii="Sylfaen" w:hAnsi="Sylfaen" w:cs="Sylfaen"/>
          <w:sz w:val="20"/>
          <w:lang w:val="ka-GE"/>
        </w:rPr>
        <w:t xml:space="preserve">1 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ივნისი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52BF577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056CA2">
        <w:rPr>
          <w:rFonts w:ascii="Sylfaen" w:hAnsi="Sylfaen" w:cs="Sylfaen"/>
          <w:sz w:val="20"/>
          <w:lang w:val="ka-GE"/>
        </w:rPr>
        <w:t>24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მაისის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636F702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56CA2">
        <w:rPr>
          <w:rFonts w:ascii="Sylfaen" w:hAnsi="Sylfaen" w:cstheme="minorHAnsi"/>
          <w:sz w:val="20"/>
          <w:lang w:val="ka-GE"/>
        </w:rPr>
        <w:t>ოთარ გოგოძე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2E57B1" w:rsidRPr="008862E7">
          <w:rPr>
            <w:rStyle w:val="Hyperlink"/>
            <w:rFonts w:asciiTheme="minorHAnsi" w:hAnsiTheme="minorHAnsi" w:cstheme="minorHAnsi"/>
            <w:sz w:val="20"/>
            <w:lang w:val="ka-GE"/>
          </w:rPr>
          <w:t>ogogodze@evex.ge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bookmarkStart w:id="1" w:name="_GoBack"/>
      <w:bookmarkEnd w:id="1"/>
      <w:r w:rsidR="00056CA2">
        <w:rPr>
          <w:rFonts w:ascii="Sylfaen" w:hAnsi="Sylfaen" w:cs="Sylfaen"/>
          <w:sz w:val="20"/>
          <w:lang w:val="ka-GE"/>
        </w:rPr>
        <w:t>985868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1457" w14:textId="77777777" w:rsidR="005E1A16" w:rsidRDefault="005E1A16">
      <w:r>
        <w:separator/>
      </w:r>
    </w:p>
  </w:endnote>
  <w:endnote w:type="continuationSeparator" w:id="0">
    <w:p w14:paraId="1444219C" w14:textId="77777777" w:rsidR="005E1A16" w:rsidRDefault="005E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FF69" w14:textId="77777777" w:rsidR="005E1A16" w:rsidRDefault="005E1A16">
      <w:r>
        <w:separator/>
      </w:r>
    </w:p>
  </w:footnote>
  <w:footnote w:type="continuationSeparator" w:id="0">
    <w:p w14:paraId="1519126A" w14:textId="77777777" w:rsidR="005E1A16" w:rsidRDefault="005E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1EE028D0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B45C5" w:rsidRPr="007B45C5">
            <w:rPr>
              <w:rFonts w:ascii="Sylfaen" w:hAnsi="Sylfaen" w:cs="Sylfaen"/>
              <w:sz w:val="20"/>
              <w:lang w:val="ka-GE"/>
            </w:rPr>
            <w:t>მ. იაშვილის სახელობის ბავშვთა ცენტრალური საავადმყოფოს</w:t>
          </w:r>
          <w:r w:rsidR="007B45C5">
            <w:rPr>
              <w:rFonts w:ascii="Sylfaen" w:hAnsi="Sylfaen" w:cs="Sylfaen"/>
              <w:sz w:val="20"/>
              <w:lang w:val="ka-GE"/>
            </w:rPr>
            <w:t>“</w:t>
          </w:r>
          <w:r w:rsidR="007F02DC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>სარეკონსტრუქციო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ogo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D650-603E-48B7-8B14-5D95D4C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13</cp:revision>
  <cp:lastPrinted>2018-06-11T07:22:00Z</cp:lastPrinted>
  <dcterms:created xsi:type="dcterms:W3CDTF">2019-03-07T21:54:00Z</dcterms:created>
  <dcterms:modified xsi:type="dcterms:W3CDTF">2019-05-15T10:41:00Z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